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SI-SAMU-GRAVITE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R1</w:t>
            </w:r>
          </w:p>
        </w:tc>
        <w:tc>
          <w:tcPr>
            <w:tcW w:type="dxa" w:w="1440"/>
          </w:tcPr>
          <w:p>
            <w:r>
              <w:t>Urgence Vitale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vitale patente ou latente imposant l’envoi du Smur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R2</w:t>
            </w:r>
          </w:p>
        </w:tc>
        <w:tc>
          <w:tcPr>
            <w:tcW w:type="dxa" w:w="1440"/>
          </w:tcPr>
          <w:p>
            <w:r>
              <w:t>Urgence vraie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Urgence vraie sans détresse vitale nécessitant l’envoi d’un médecin, d’une ambulance ou d’un VSAV. Le délai d’intervention est immédiat par défaut ou contractualisé entre le médecin régulateur et le requérant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R3</w:t>
            </w:r>
          </w:p>
        </w:tc>
        <w:tc>
          <w:tcPr>
            <w:tcW w:type="dxa" w:w="1440"/>
          </w:tcPr>
          <w:p>
            <w:r>
              <w:t>Continuité de soins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relevant de la continuité de soins. Le délai ne constituant pas un facteur de risque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R4</w:t>
            </w:r>
          </w:p>
        </w:tc>
        <w:tc>
          <w:tcPr>
            <w:tcW w:type="dxa" w:w="1440"/>
          </w:tcPr>
          <w:p>
            <w:r>
              <w:t>Conseil ou PMT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Situation pouvant être traitée par un conseil médical ou prescription médicamenteuse par téléphone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C366EB-394C-4706-9F4D-2FA0AF0C80A4}"/>
</file>

<file path=customXml/itemProps3.xml><?xml version="1.0" encoding="utf-8"?>
<ds:datastoreItem xmlns:ds="http://schemas.openxmlformats.org/officeDocument/2006/customXml" ds:itemID="{4BD86058-FFB7-4A37-8824-484BA9B8E6E2}"/>
</file>

<file path=customXml/itemProps4.xml><?xml version="1.0" encoding="utf-8"?>
<ds:datastoreItem xmlns:ds="http://schemas.openxmlformats.org/officeDocument/2006/customXml" ds:itemID="{E09F4A37-69A3-4548-A884-DF3F661457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